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ind w:firstLine="0" w:firstLineChars="0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广西壮族自治区药品监督管理局</w:t>
      </w:r>
    </w:p>
    <w:p>
      <w:pPr>
        <w:spacing w:line="800" w:lineRule="exact"/>
        <w:ind w:firstLine="0" w:firstLineChars="0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少数民族及地方习用药材质量标准</w:t>
      </w:r>
    </w:p>
    <w:p>
      <w:pPr>
        <w:spacing w:line="360" w:lineRule="auto"/>
        <w:ind w:firstLine="0" w:firstLineChars="0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</w:rPr>
        <w:t>31</w:t>
      </w:r>
    </w:p>
    <w:p>
      <w:pPr>
        <w:spacing w:line="360" w:lineRule="auto"/>
        <w:ind w:firstLine="0" w:firstLineChars="0"/>
        <w:jc w:val="center"/>
        <w:rPr>
          <w:rFonts w:hint="eastAsia" w:ascii="Times New Roman" w:hAnsi="Times New Roman" w:eastAsia="黑体" w:cs="Times New Roman"/>
          <w:b/>
          <w:bCs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66432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ind w:left="0" w:leftChars="0" w:firstLine="0" w:firstLineChars="0"/>
        <w:jc w:val="center"/>
        <w:rPr>
          <w:rFonts w:hint="default" w:ascii="Times New Roman" w:hAnsi="Times New Roman" w:eastAsia="黑体" w:cs="Times New Roman"/>
          <w:b/>
          <w:bCs/>
          <w:color w:val="000000"/>
          <w:sz w:val="36"/>
          <w:szCs w:val="36"/>
          <w:lang w:val="en-US" w:eastAsia="zh-CN"/>
        </w:rPr>
      </w:pPr>
    </w:p>
    <w:p>
      <w:pPr>
        <w:spacing w:line="360" w:lineRule="auto"/>
        <w:ind w:left="0" w:leftChars="0" w:firstLine="0" w:firstLineChars="0"/>
        <w:jc w:val="center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sz w:val="36"/>
          <w:szCs w:val="36"/>
          <w:lang w:val="en-US" w:eastAsia="zh-CN"/>
        </w:rPr>
        <w:t>黄槿</w:t>
      </w:r>
    </w:p>
    <w:p>
      <w:pPr>
        <w:spacing w:line="360" w:lineRule="auto"/>
        <w:ind w:left="0" w:leftChars="0" w:firstLine="0" w:firstLineChars="0"/>
        <w:jc w:val="center"/>
        <w:rPr>
          <w:rFonts w:hint="default" w:ascii="Times New Roman" w:hAnsi="Times New Roman" w:eastAsia="黑体" w:cs="Times New Roman"/>
          <w:color w:val="000000"/>
          <w:szCs w:val="21"/>
        </w:rPr>
      </w:pPr>
      <w:bookmarkStart w:id="1" w:name="_GoBack"/>
      <w:r>
        <w:rPr>
          <w:rFonts w:hint="default" w:ascii="Times New Roman" w:hAnsi="Times New Roman" w:eastAsia="黑体" w:cs="Times New Roman"/>
          <w:color w:val="000000"/>
          <w:sz w:val="24"/>
          <w:szCs w:val="24"/>
        </w:rPr>
        <w:t>H</w:t>
      </w:r>
      <w:r>
        <w:rPr>
          <w:rFonts w:hint="default" w:ascii="Times New Roman" w:hAnsi="Times New Roman" w:eastAsia="黑体" w:cs="Times New Roman"/>
          <w:color w:val="000000"/>
          <w:sz w:val="24"/>
          <w:szCs w:val="24"/>
          <w:lang w:val="en-US" w:eastAsia="zh-CN"/>
        </w:rPr>
        <w:t>uangjin</w:t>
      </w:r>
    </w:p>
    <w:bookmarkEnd w:id="1"/>
    <w:p>
      <w:pPr>
        <w:spacing w:line="360" w:lineRule="auto"/>
        <w:jc w:val="center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黑体" w:cs="Times New Roman"/>
          <w:b/>
          <w:bCs/>
          <w:color w:val="auto"/>
          <w:sz w:val="28"/>
          <w:szCs w:val="28"/>
          <w:lang w:val="en-US" w:eastAsia="zh-CN"/>
        </w:rPr>
        <w:t>HIBISCI TILIACEI CAULIS ET FOLIUM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本品为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锦葵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科植物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黄槿</w:t>
      </w:r>
      <w:r>
        <w:rPr>
          <w:rFonts w:hint="default" w:ascii="Times New Roman" w:hAnsi="Times New Roman" w:eastAsia="宋体" w:cs="Times New Roman"/>
          <w:i/>
          <w:color w:val="auto"/>
          <w:sz w:val="24"/>
          <w:szCs w:val="24"/>
          <w:lang w:val="en-US" w:eastAsia="zh-CN"/>
        </w:rPr>
        <w:t xml:space="preserve">Hibiscus tiliaceus </w:t>
      </w:r>
      <w:r>
        <w:rPr>
          <w:rFonts w:hint="default" w:ascii="Times New Roman" w:hAnsi="Times New Roman" w:eastAsia="宋体" w:cs="Times New Roman"/>
          <w:i w:val="0"/>
          <w:iCs/>
          <w:color w:val="auto"/>
          <w:sz w:val="24"/>
          <w:szCs w:val="24"/>
          <w:lang w:val="en-US" w:eastAsia="zh-CN"/>
        </w:rPr>
        <w:t>L.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的干燥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嫩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枝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叶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。全年可采，洗净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干燥。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auto"/>
          <w:sz w:val="24"/>
        </w:rPr>
        <w:t>【性状】</w:t>
      </w:r>
      <w:r>
        <w:rPr>
          <w:rFonts w:hint="default" w:ascii="Times New Roman" w:hAnsi="Times New Roman" w:cs="Times New Roman"/>
          <w:color w:val="auto"/>
          <w:lang w:val="en-US" w:eastAsia="zh-CN"/>
        </w:rPr>
        <w:t>枝</w:t>
      </w:r>
      <w:r>
        <w:rPr>
          <w:rFonts w:hint="default" w:ascii="Times New Roman" w:hAnsi="Times New Roman" w:cs="Times New Roman"/>
          <w:color w:val="auto"/>
        </w:rPr>
        <w:t>呈圆柱形，直</w:t>
      </w:r>
      <w:r>
        <w:rPr>
          <w:rFonts w:hint="default" w:ascii="Times New Roman" w:hAnsi="Times New Roman" w:cs="Times New Roman"/>
        </w:rPr>
        <w:t>径0.5～</w:t>
      </w:r>
      <w:r>
        <w:rPr>
          <w:rFonts w:hint="eastAsia" w:ascii="Times New Roman" w:hAnsi="Times New Roman" w:cs="Times New Roman"/>
          <w:lang w:val="en-US" w:eastAsia="zh-CN"/>
        </w:rPr>
        <w:t>1.5</w:t>
      </w:r>
      <w:r>
        <w:rPr>
          <w:rFonts w:hint="default" w:ascii="Times New Roman" w:hAnsi="Times New Roman" w:cs="Times New Roman"/>
        </w:rPr>
        <w:t>cm，表面灰绿色、灰黑色或红棕色，</w:t>
      </w:r>
      <w:r>
        <w:rPr>
          <w:rFonts w:hint="default" w:ascii="Times New Roman" w:hAnsi="Times New Roman" w:cs="Times New Roman"/>
          <w:lang w:val="en-US" w:eastAsia="zh-CN"/>
        </w:rPr>
        <w:t>节稍膨大，</w:t>
      </w:r>
      <w:r>
        <w:rPr>
          <w:rFonts w:hint="default" w:ascii="Times New Roman" w:hAnsi="Times New Roman" w:cs="Times New Roman"/>
        </w:rPr>
        <w:t>有突起的叶痕，质坚硬，不易折断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断面</w:t>
      </w:r>
      <w:r>
        <w:rPr>
          <w:rFonts w:hint="default" w:ascii="Times New Roman" w:hAnsi="Times New Roman" w:cs="Times New Roman"/>
          <w:lang w:val="en-US" w:eastAsia="zh-CN"/>
        </w:rPr>
        <w:t>淡黄色</w:t>
      </w:r>
      <w:r>
        <w:rPr>
          <w:rFonts w:hint="default" w:ascii="Times New Roman" w:hAnsi="Times New Roman" w:cs="Times New Roman"/>
        </w:rPr>
        <w:t>，可见髓部呈海绵状。小枝无毛或近于无毛</w:t>
      </w:r>
      <w:r>
        <w:rPr>
          <w:rFonts w:hint="eastAsia" w:ascii="Times New Roman" w:hAnsi="Times New Roman" w:cs="Times New Roman"/>
          <w:lang w:eastAsia="zh-CN"/>
        </w:rPr>
        <w:t>。</w:t>
      </w:r>
      <w:r>
        <w:rPr>
          <w:rFonts w:hint="eastAsia" w:ascii="Times New Roman" w:hAnsi="Times New Roman" w:cs="Times New Roman"/>
          <w:lang w:val="en-US" w:eastAsia="zh-CN"/>
        </w:rPr>
        <w:t>叶多皱缩，</w:t>
      </w:r>
      <w:r>
        <w:rPr>
          <w:rFonts w:hint="default" w:ascii="Times New Roman" w:hAnsi="Times New Roman" w:cs="Times New Roman"/>
          <w:lang w:val="en-US" w:eastAsia="zh-CN"/>
        </w:rPr>
        <w:t>完整</w:t>
      </w:r>
      <w:r>
        <w:rPr>
          <w:rFonts w:hint="eastAsia" w:ascii="Times New Roman" w:hAnsi="Times New Roman" w:cs="Times New Roman"/>
          <w:lang w:val="en-US" w:eastAsia="zh-CN"/>
        </w:rPr>
        <w:t>者</w:t>
      </w:r>
      <w:r>
        <w:rPr>
          <w:rFonts w:hint="default" w:ascii="Times New Roman" w:hAnsi="Times New Roman" w:cs="Times New Roman"/>
          <w:lang w:val="en-US" w:eastAsia="zh-CN"/>
        </w:rPr>
        <w:t>展平后呈</w:t>
      </w:r>
      <w:r>
        <w:rPr>
          <w:rFonts w:hint="default" w:ascii="Times New Roman" w:hAnsi="Times New Roman" w:cs="Times New Roman"/>
        </w:rPr>
        <w:t>近圆形或广卵形，</w:t>
      </w:r>
      <w:r>
        <w:rPr>
          <w:rFonts w:hint="default" w:ascii="Times New Roman" w:hAnsi="Times New Roman" w:cs="Times New Roman"/>
          <w:lang w:val="en-US" w:eastAsia="zh-CN"/>
        </w:rPr>
        <w:t>宽</w:t>
      </w:r>
      <w:r>
        <w:rPr>
          <w:rFonts w:hint="default" w:ascii="Times New Roman" w:hAnsi="Times New Roman" w:cs="Times New Roman"/>
        </w:rPr>
        <w:t>5～15cm，全缘或具不明显细圆齿，上</w:t>
      </w:r>
      <w:r>
        <w:rPr>
          <w:rFonts w:hint="default" w:ascii="Times New Roman" w:hAnsi="Times New Roman" w:cs="Times New Roman"/>
          <w:lang w:val="en-US" w:eastAsia="zh-CN"/>
        </w:rPr>
        <w:t>表面绿色至黄绿色</w:t>
      </w:r>
      <w:r>
        <w:rPr>
          <w:rFonts w:hint="default" w:ascii="Times New Roman" w:hAnsi="Times New Roman" w:cs="Times New Roman"/>
        </w:rPr>
        <w:t>，下</w:t>
      </w:r>
      <w:r>
        <w:rPr>
          <w:rFonts w:hint="default" w:ascii="Times New Roman" w:hAnsi="Times New Roman" w:cs="Times New Roman"/>
          <w:lang w:val="en-US" w:eastAsia="zh-CN"/>
        </w:rPr>
        <w:t>表</w:t>
      </w:r>
      <w:r>
        <w:rPr>
          <w:rFonts w:hint="default" w:ascii="Times New Roman" w:hAnsi="Times New Roman" w:cs="Times New Roman"/>
        </w:rPr>
        <w:t>面</w:t>
      </w:r>
      <w:r>
        <w:rPr>
          <w:rFonts w:hint="default" w:ascii="Times New Roman" w:hAnsi="Times New Roman" w:cs="Times New Roman"/>
          <w:lang w:val="en-US" w:eastAsia="zh-CN"/>
        </w:rPr>
        <w:t>浅绿色，可见</w:t>
      </w:r>
      <w:r>
        <w:rPr>
          <w:rFonts w:hint="default" w:ascii="Times New Roman" w:hAnsi="Times New Roman" w:cs="Times New Roman"/>
        </w:rPr>
        <w:t>星状柔毛。气微，味淡。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5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【鉴别】</w:t>
      </w:r>
      <w:r>
        <w:rPr>
          <w:rFonts w:hint="default" w:ascii="Times New Roman" w:hAnsi="Times New Roman" w:eastAsia="宋体" w:cs="Times New Roman"/>
          <w:color w:val="000000"/>
          <w:sz w:val="24"/>
        </w:rPr>
        <w:t>（1）本品</w:t>
      </w:r>
      <w:r>
        <w:rPr>
          <w:rFonts w:hint="default" w:ascii="Times New Roman" w:hAnsi="Times New Roman" w:cs="Times New Roman"/>
          <w:color w:val="000000"/>
          <w:sz w:val="24"/>
          <w:lang w:val="en-US" w:eastAsia="zh-CN"/>
        </w:rPr>
        <w:t>枝</w:t>
      </w:r>
      <w:r>
        <w:rPr>
          <w:rFonts w:hint="default" w:ascii="Times New Roman" w:hAnsi="Times New Roman" w:eastAsia="宋体" w:cs="Times New Roman"/>
          <w:color w:val="000000"/>
          <w:sz w:val="24"/>
        </w:rPr>
        <w:t>横切面：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表皮残存，木栓细胞数列，栓内层细胞壁加厚。皮层有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粘液道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和草酸钙簇晶散在。韧皮部纤维束多呈切向断续排列，草酸钙簇晶散在。形成层成环。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木质部射线细胞一到两列；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木纤维不规则散在；导管类圆形，单个散在或两到三个成群。髓部与木质部相接处有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粘液道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；薄壁细胞中含有草酸钙簇晶。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粉末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绿色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至黄绿色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。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单细胞非腺毛众多，常星状簇生，略弯曲，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有的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highlight w:val="none"/>
          <w:lang w:val="en-US" w:eastAsia="zh-CN"/>
        </w:rPr>
        <w:t>壁增厚。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草酸钙簇晶直径10～55μm，存在于薄壁细胞中或单个散在。具缘纹孔导管直径18～60μm。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纤维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单个散在或成束，直径16～35μm，壁厚，胞腔线型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>（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000000"/>
          <w:sz w:val="24"/>
        </w:rPr>
        <w:t>）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取本品粉末0.5g，加甲醇30ml，加热回流30分钟，滤过，滤液蒸干，残渣加水15ml使溶解，用三氯甲烷20ml振摇提取，弃去三氯甲烷液，水液用水饱和的正丁醇25ml振摇提取，取正丁醇液，回收溶剂至干，残渣加无水乙醇2ml使溶解，作为供试品溶液。另取黄槿对照药材0.5g，同法制成对照药材溶液。再取芦丁对照品，加无水乙醇制成每1ml含0.5mg的溶液，作为对照品溶液。照薄层色谱法（《中国药典》2025年版通则0502）试验，吸取对照品溶液1μl、对照药材溶液和供试品溶液各2～5μl，分别点于同一硅胶G板上，以乙酸乙酯-甲酸-水 (8:1:1)为展开剂，展开，取出，晾干，喷以3％三氯化铝乙醇溶液，热风吹干，置紫外光灯(365nm)下检视。供试品色谱中，在与对照药材色谱和对照品色谱相应的位置上，显相同颜色的荧光斑点。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【检查】</w:t>
      </w: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 xml:space="preserve">叶 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不得少于30%</w:t>
      </w:r>
      <w:r>
        <w:rPr>
          <w:rFonts w:hint="default" w:ascii="Times New Roman" w:hAnsi="Times New Roman" w:cs="Times New Roman"/>
          <w:color w:val="000000"/>
          <w:sz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水分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 不得过13.0%（</w:t>
      </w:r>
      <w:r>
        <w:rPr>
          <w:rFonts w:hint="default" w:ascii="Times New Roman" w:hAnsi="Times New Roman" w:eastAsia="宋体" w:cs="Times New Roman"/>
          <w:color w:val="000000"/>
          <w:sz w:val="24"/>
          <w:lang w:eastAsia="zh-CN"/>
        </w:rPr>
        <w:t>《</w:t>
      </w:r>
      <w:r>
        <w:rPr>
          <w:rFonts w:hint="default" w:ascii="Times New Roman" w:hAnsi="Times New Roman" w:eastAsia="宋体" w:cs="Times New Roman"/>
          <w:color w:val="000000"/>
          <w:sz w:val="24"/>
        </w:rPr>
        <w:t>中国药典</w:t>
      </w:r>
      <w:r>
        <w:rPr>
          <w:rFonts w:hint="default" w:ascii="Times New Roman" w:hAnsi="Times New Roman" w:eastAsia="宋体" w:cs="Times New Roman"/>
          <w:color w:val="000000"/>
          <w:sz w:val="24"/>
          <w:lang w:eastAsia="zh-CN"/>
        </w:rPr>
        <w:t>》</w:t>
      </w:r>
      <w:r>
        <w:rPr>
          <w:rFonts w:hint="default" w:ascii="Times New Roman" w:hAnsi="Times New Roman" w:eastAsia="宋体" w:cs="Times New Roman"/>
          <w:color w:val="000000"/>
          <w:sz w:val="24"/>
        </w:rPr>
        <w:t>202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000000"/>
          <w:sz w:val="24"/>
        </w:rPr>
        <w:t>年版通则0832第二法）。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总灰分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 不得过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color w:val="000000"/>
          <w:sz w:val="24"/>
        </w:rPr>
        <w:t>.0%（</w:t>
      </w:r>
      <w:bookmarkStart w:id="0" w:name="OLE_LINK120"/>
      <w:r>
        <w:rPr>
          <w:rFonts w:hint="default" w:ascii="Times New Roman" w:hAnsi="Times New Roman" w:eastAsia="宋体" w:cs="Times New Roman"/>
          <w:color w:val="000000"/>
          <w:sz w:val="24"/>
          <w:lang w:eastAsia="zh-CN"/>
        </w:rPr>
        <w:t>《</w:t>
      </w:r>
      <w:r>
        <w:rPr>
          <w:rFonts w:hint="default" w:ascii="Times New Roman" w:hAnsi="Times New Roman" w:eastAsia="宋体" w:cs="Times New Roman"/>
          <w:color w:val="000000"/>
          <w:sz w:val="24"/>
        </w:rPr>
        <w:t>中国药典</w:t>
      </w:r>
      <w:r>
        <w:rPr>
          <w:rFonts w:hint="default" w:ascii="Times New Roman" w:hAnsi="Times New Roman" w:eastAsia="宋体" w:cs="Times New Roman"/>
          <w:color w:val="000000"/>
          <w:sz w:val="24"/>
          <w:lang w:eastAsia="zh-CN"/>
        </w:rPr>
        <w:t>》</w:t>
      </w:r>
      <w:r>
        <w:rPr>
          <w:rFonts w:hint="default" w:ascii="Times New Roman" w:hAnsi="Times New Roman" w:eastAsia="宋体" w:cs="Times New Roman"/>
          <w:color w:val="000000"/>
          <w:sz w:val="24"/>
        </w:rPr>
        <w:t>202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000000"/>
          <w:sz w:val="24"/>
        </w:rPr>
        <w:t>年版通则230</w:t>
      </w:r>
      <w:bookmarkEnd w:id="0"/>
      <w:r>
        <w:rPr>
          <w:rFonts w:hint="default" w:ascii="Times New Roman" w:hAnsi="Times New Roman" w:eastAsia="宋体" w:cs="Times New Roman"/>
          <w:color w:val="000000"/>
          <w:sz w:val="24"/>
        </w:rPr>
        <w:t>2）。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【浸出物】</w:t>
      </w:r>
      <w:r>
        <w:rPr>
          <w:rFonts w:hint="default" w:ascii="Times New Roman" w:hAnsi="Times New Roman" w:eastAsia="宋体" w:cs="Times New Roman"/>
          <w:color w:val="000000"/>
          <w:sz w:val="24"/>
        </w:rPr>
        <w:t>照水溶性浸出物测定法（</w:t>
      </w:r>
      <w:r>
        <w:rPr>
          <w:rFonts w:hint="default" w:ascii="Times New Roman" w:hAnsi="Times New Roman" w:eastAsia="宋体" w:cs="Times New Roman"/>
          <w:color w:val="000000"/>
          <w:sz w:val="24"/>
          <w:lang w:eastAsia="zh-CN"/>
        </w:rPr>
        <w:t>《</w:t>
      </w:r>
      <w:r>
        <w:rPr>
          <w:rFonts w:hint="default" w:ascii="Times New Roman" w:hAnsi="Times New Roman" w:eastAsia="宋体" w:cs="Times New Roman"/>
          <w:color w:val="000000"/>
          <w:sz w:val="24"/>
        </w:rPr>
        <w:t>中国药典</w:t>
      </w:r>
      <w:r>
        <w:rPr>
          <w:rFonts w:hint="default" w:ascii="Times New Roman" w:hAnsi="Times New Roman" w:eastAsia="宋体" w:cs="Times New Roman"/>
          <w:color w:val="000000"/>
          <w:sz w:val="24"/>
          <w:lang w:eastAsia="zh-CN"/>
        </w:rPr>
        <w:t>》</w:t>
      </w:r>
      <w:r>
        <w:rPr>
          <w:rFonts w:hint="default" w:ascii="Times New Roman" w:hAnsi="Times New Roman" w:eastAsia="宋体" w:cs="Times New Roman"/>
          <w:color w:val="000000"/>
          <w:sz w:val="24"/>
        </w:rPr>
        <w:t>202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000000"/>
          <w:sz w:val="24"/>
        </w:rPr>
        <w:t>年版通则2201）项下的热浸法测定，不得少于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16</w:t>
      </w:r>
      <w:r>
        <w:rPr>
          <w:rFonts w:hint="default" w:ascii="Times New Roman" w:hAnsi="Times New Roman" w:eastAsia="宋体" w:cs="Times New Roman"/>
          <w:sz w:val="24"/>
        </w:rPr>
        <w:t>.0%</w:t>
      </w:r>
      <w:r>
        <w:rPr>
          <w:rFonts w:hint="default" w:ascii="Times New Roman" w:hAnsi="Times New Roman" w:eastAsia="宋体" w:cs="Times New Roman"/>
          <w:color w:val="000000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黑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</w:t>
      </w: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特征图谱</w:t>
      </w:r>
      <w:r>
        <w:rPr>
          <w:rFonts w:hint="default" w:ascii="Times New Roman" w:hAnsi="Times New Roman" w:eastAsia="黑体" w:cs="Times New Roman"/>
          <w:color w:val="000000"/>
          <w:sz w:val="24"/>
        </w:rPr>
        <w:t>】</w:t>
      </w:r>
      <w:r>
        <w:rPr>
          <w:rFonts w:hint="default" w:ascii="Times New Roman" w:hAnsi="Times New Roman" w:eastAsia="宋体" w:cs="Times New Roman"/>
          <w:color w:val="000000"/>
          <w:sz w:val="24"/>
        </w:rPr>
        <w:t>照高效液相色谱法（</w:t>
      </w:r>
      <w:r>
        <w:rPr>
          <w:rFonts w:hint="default" w:ascii="Times New Roman" w:hAnsi="Times New Roman" w:eastAsia="宋体" w:cs="Times New Roman"/>
          <w:color w:val="000000"/>
          <w:sz w:val="24"/>
          <w:lang w:eastAsia="zh-CN"/>
        </w:rPr>
        <w:t>《</w:t>
      </w:r>
      <w:r>
        <w:rPr>
          <w:rFonts w:hint="default" w:ascii="Times New Roman" w:hAnsi="Times New Roman" w:eastAsia="宋体" w:cs="Times New Roman"/>
          <w:color w:val="000000"/>
          <w:sz w:val="24"/>
        </w:rPr>
        <w:t>中国药典</w:t>
      </w:r>
      <w:r>
        <w:rPr>
          <w:rFonts w:hint="default" w:ascii="Times New Roman" w:hAnsi="Times New Roman" w:eastAsia="宋体" w:cs="Times New Roman"/>
          <w:color w:val="000000"/>
          <w:sz w:val="24"/>
          <w:lang w:eastAsia="zh-CN"/>
        </w:rPr>
        <w:t>》</w:t>
      </w:r>
      <w:r>
        <w:rPr>
          <w:rFonts w:hint="default" w:ascii="Times New Roman" w:hAnsi="Times New Roman" w:eastAsia="宋体" w:cs="Times New Roman"/>
          <w:color w:val="000000"/>
          <w:sz w:val="24"/>
        </w:rPr>
        <w:t>202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000000"/>
          <w:sz w:val="24"/>
        </w:rPr>
        <w:t>年版通则0512）测定。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 xml:space="preserve">色谱条件与系统适用性试验  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同</w:t>
      </w:r>
      <w:r>
        <w:rPr>
          <w:rFonts w:hint="default" w:ascii="Times New Roman" w:hAnsi="Times New Roman" w:eastAsia="微软雅黑" w:cs="Times New Roman"/>
          <w:color w:val="000000"/>
          <w:sz w:val="24"/>
          <w:lang w:val="en-US" w:eastAsia="zh-CN"/>
        </w:rPr>
        <w:t>〔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含量测定</w:t>
      </w:r>
      <w:r>
        <w:rPr>
          <w:rFonts w:hint="default" w:ascii="Times New Roman" w:hAnsi="Times New Roman" w:eastAsia="微软雅黑" w:cs="Times New Roman"/>
          <w:color w:val="000000"/>
          <w:sz w:val="24"/>
          <w:lang w:val="en-US" w:eastAsia="zh-CN"/>
        </w:rPr>
        <w:t>〕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项下。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 xml:space="preserve">参照物溶液的制备  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取芦丁对照品适量，精密称定，加70%甲醇制成每1ml含0.10mg的溶液，即得。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 xml:space="preserve">供试品溶液的制备  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同</w:t>
      </w:r>
      <w:r>
        <w:rPr>
          <w:rFonts w:hint="default" w:ascii="Times New Roman" w:hAnsi="Times New Roman" w:eastAsia="微软雅黑" w:cs="Times New Roman"/>
          <w:color w:val="000000"/>
          <w:sz w:val="24"/>
          <w:lang w:val="en-US" w:eastAsia="zh-CN"/>
        </w:rPr>
        <w:t>〔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含量测定</w:t>
      </w:r>
      <w:r>
        <w:rPr>
          <w:rFonts w:hint="default" w:ascii="Times New Roman" w:hAnsi="Times New Roman" w:eastAsia="微软雅黑" w:cs="Times New Roman"/>
          <w:color w:val="000000"/>
          <w:sz w:val="24"/>
          <w:lang w:val="en-US" w:eastAsia="zh-CN"/>
        </w:rPr>
        <w:t>〕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项下。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测定法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 xml:space="preserve">  分别精密吸取参照物溶液与供试品溶液各20μl，注入液相色谱仪，测定，即得。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供试品特征图谱中应呈现6个特征峰，与参照物峰相应的峰为S峰，计算各特征峰与S峰的相对保留时间，应在规定值的</w:t>
      </w:r>
      <w:r>
        <w:rPr>
          <w:rFonts w:hint="default" w:ascii="Times New Roman" w:hAnsi="Times New Roman" w:eastAsia="宋体" w:cs="Times New Roman"/>
          <w:sz w:val="24"/>
          <w:szCs w:val="24"/>
        </w:rPr>
        <w:t>±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10%之内，规定值为：</w:t>
      </w:r>
      <w:r>
        <w:rPr>
          <w:rFonts w:hint="default" w:ascii="Times New Roman" w:hAnsi="Times New Roman" w:eastAsia="宋体" w:cs="Times New Roman"/>
          <w:sz w:val="24"/>
          <w:szCs w:val="24"/>
        </w:rPr>
        <w:t>0.2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4"/>
          <w:szCs w:val="24"/>
        </w:rPr>
        <w:t>（峰1）、0.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30</w:t>
      </w:r>
      <w:r>
        <w:rPr>
          <w:rFonts w:hint="default" w:ascii="Times New Roman" w:hAnsi="Times New Roman" w:eastAsia="宋体" w:cs="Times New Roman"/>
          <w:sz w:val="24"/>
          <w:szCs w:val="24"/>
        </w:rPr>
        <w:t>（峰2）、0.8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sz w:val="24"/>
          <w:szCs w:val="24"/>
        </w:rPr>
        <w:t>（峰3）、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1.10</w:t>
      </w:r>
      <w:r>
        <w:rPr>
          <w:rFonts w:hint="default" w:ascii="Times New Roman" w:hAnsi="Times New Roman" w:eastAsia="宋体" w:cs="Times New Roman"/>
          <w:sz w:val="24"/>
          <w:szCs w:val="24"/>
        </w:rPr>
        <w:t>（峰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4"/>
          <w:szCs w:val="24"/>
        </w:rPr>
        <w:t>）、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1.38</w:t>
      </w:r>
      <w:r>
        <w:rPr>
          <w:rFonts w:hint="default" w:ascii="Times New Roman" w:hAnsi="Times New Roman" w:eastAsia="宋体" w:cs="Times New Roman"/>
          <w:sz w:val="24"/>
          <w:szCs w:val="24"/>
        </w:rPr>
        <w:t>（峰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 w:val="24"/>
          <w:szCs w:val="24"/>
        </w:rPr>
        <w:t>）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4300855</wp:posOffset>
                </wp:positionH>
                <wp:positionV relativeFrom="paragraph">
                  <wp:posOffset>1160145</wp:posOffset>
                </wp:positionV>
                <wp:extent cx="578485" cy="43624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485" cy="436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8.65pt;margin-top:91.35pt;height:34.35pt;width:45.55pt;z-index:251664384;mso-width-relative:page;mso-height-relative:page;" filled="f" stroked="f" coordsize="21600,21600" o:gfxdata="UEsFBgAAAAAAAAAAAAAAAAAAAAAAAFBLAwQKAAAAAACHTuJAAAAAAAAAAAAAAAAABAAAAGRycy9Q&#10;SwMEFAAAAAgAh07iQOFOaq3cAAAACwEAAA8AAABkcnMvZG93bnJldi54bWxNj01Pg0AQhu8m/ofN&#10;mHizC9gCQZbGkDQmRg+tvXgb2C0Q2Vlktx/66x1Pepy8T973mXJ9saM4mdkPjhTEiwiEodbpgToF&#10;+7fNXQ7CBySNoyOj4Mt4WFfXVyUW2p1pa0670AkuIV+ggj6EqZDSt72x6BduMsTZwc0WA59zJ/WM&#10;Zy63o0yiKJUWB+KFHidT96b92B2tgud684rbJrH591g/vRwep8/9+0qp25s4egARzCX8wfCrz+pQ&#10;sVPjjqS9GBWkWXbPKAd5koFgIkvzJYhGQbKKlyCrUv7/ofoBUEsDBBQAAAAIAIdO4kATIuuUHwIA&#10;ABcEAAAOAAAAZHJzL2Uyb0RvYy54bWytU8GO0zAQvSPxD5bvNG037Zaq6arsqghpxa5UEGfXsZtI&#10;tsfYbpPyAfAHe+LCne/qdzB22m4FnBAXZzwzmfF782Z202pFdsL5GkxBB70+JcJwKGuzKejHD8tX&#10;E0p8YKZkCowo6F54ejN/+WLW2KkYQgWqFI5gEeOnjS1oFYKdZpnnldDM98AKg0EJTrOAV7fJSsca&#10;rK5VNuz3x1kDrrQOuPAevXddkM5TfSkFDw9SehGIKii+LaTTpXMdz2w+Y9ONY7aq+fEZ7B9eoVlt&#10;sOm51B0LjGxd/UcpXXMHHmTocdAZSFlzkTAgmkH/NzSrilmRsCA53p5p8v+vLH+/e3SkLgs6psQw&#10;jSM6PH07fP95+PGVjCM9jfVTzFpZzAvtG2hxzCe/R2dE3Uqn4xfxEIwj0fszuaINhKNzdD3JJyNK&#10;OIbyq/EwH8Uq2fPP1vnwVoAm0Siow9klStnu3ocu9ZQSexlY1kql+SlDGgRwNeqnH84RLK4M9ogQ&#10;uqdGK7Tr9ohrDeUeYTnodOEtX9bY/J758MgcCgGRoLjDAx5SATaBo0VJBe7L3/wxH+eDUUoaFFZB&#10;/ectc4IS9c7g5F4P8jwqMV3y0fUQL+4ysr6MmK2+BdTuANfI8mTG/KBOpnSgP+EOLGJXDDHDsXdB&#10;w8m8DZ3ccYe4WCxSEmrPsnBvVpbH0h2di20AWSemI00dN0f2UH1pVsdNifK+vKes532e/w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WAAAA&#10;ZHJzL1BLAQIUABQAAAAIAIdO4kDhTmqt3AAAAAsBAAAPAAAAAAAAAAEAIAAAADgAAABkcnMvZG93&#10;bnJldi54bWxQSwECFAAUAAAACACHTuJAEyLrlB8CAAAXBAAADgAAAAAAAAABACAAAABBAQAAZHJz&#10;L2Uyb0RvYy54bWxQSwUGAAAAAAYABgBZAQAA0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eastAsia="宋体" w:cs="Times New Roman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3370580</wp:posOffset>
                </wp:positionH>
                <wp:positionV relativeFrom="paragraph">
                  <wp:posOffset>1214120</wp:posOffset>
                </wp:positionV>
                <wp:extent cx="578485" cy="43624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485" cy="436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5.4pt;margin-top:95.6pt;height:34.35pt;width:45.55pt;z-index:251663360;mso-width-relative:page;mso-height-relative:page;" filled="f" stroked="f" coordsize="21600,21600" o:gfxdata="UEsFBgAAAAAAAAAAAAAAAAAAAAAAAFBLAwQKAAAAAACHTuJAAAAAAAAAAAAAAAAABAAAAGRycy9Q&#10;SwMEFAAAAAgAh07iQCVVnmPbAAAACwEAAA8AAABkcnMvZG93bnJldi54bWxNj8tOwzAURPdI/IN1&#10;kdhRO0apmhCnQpEqJASLlm7Y3cRuEuFHiN0HfD2XFSxHM5o5U60vzrKTmeMYvIJsIYAZ3wU9+l7B&#10;/m1ztwIWE3qNNnij4MtEWNfXVxWWOpz91px2qWdU4mOJCoaUppLz2A3GYVyEyXjyDmF2mEjOPdcz&#10;nqncWS6FWHKHo6eFASfTDKb72B2dgudm84rbVrrVt22eXg6P0+f+PVfq9iYTD8CSuaS/MPziEzrU&#10;xNSGo9eRWQX5vSD0REaRSWCUWMqsANYqkHlRAK8r/v9D/QNQSwMEFAAAAAgAh07iQIuS7dcgAgAA&#10;FwQAAA4AAABkcnMvZTJvRG9jLnhtbK1TzW4TMRC+I/EOlu9kk3SThiibKrQKQqpopYA4O147u5Lt&#10;MbaT3fAA8AY9ceHOc+U5GHuTNAJOiIs9nhnPzzffzG5archOOF+DKeig16dEGA5lbTYF/fhh+WpC&#10;iQ/MlEyBEQXdC09v5i9fzBo7FUOoQJXCEQxi/LSxBa1CsNMs87wSmvkeWGHQKMFpFvDpNlnpWIPR&#10;tcqG/f44a8CV1gEX3qP2rjPSeYovpeDhQUovAlEFxdpCOl061/HM5jM23Thmq5ofy2D/UIVmtcGk&#10;51B3LDCydfUfoXTNHXiQocdBZyBlzUXqAbsZ9H/rZlUxK1IvCI63Z5j8/wvL3+8eHanLgo4oMUzj&#10;iA5P3w7ffx5+fCWjCE9j/RS9Vhb9QvsGWhzzSe9RGbtupdPxxn4I2hHo/Rlc0QbCUTm6nuQTTMLR&#10;lF+Nh3mKnj1/ts6HtwI0iUJBHc4uQcp29z5gIeh6com5DCxrpdL8lCFNQcdXo376cLbgD2XwY2yh&#10;KzVKoV23x77WUO6xLQcdL7zlyxqT3zMfHplDImAnSO7wgIdUgEngKFFSgfvyN330x/mglZIGiVVQ&#10;/3nLnKBEvTM4udeDPI9MTI98dD3Eh7u0rC8tZqtvAbk7wDWyPInRP6iTKB3oT7gDi5gVTcxwzF3Q&#10;cBJvQ0d33CEuFovkhNyzLNybleUxdAfnYhtA1gnpCFOHzRE9ZF8awHFTIr0v38nreZ/nv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WAAAA&#10;ZHJzL1BLAQIUABQAAAAIAIdO4kAlVZ5j2wAAAAsBAAAPAAAAAAAAAAEAIAAAADgAAABkcnMvZG93&#10;bnJldi54bWxQSwECFAAUAAAACACHTuJAi5Lt1yACAAAXBAAADgAAAAAAAAABACAAAABAAQAAZHJz&#10;L2Uyb0RvYy54bWxQSwUGAAAAAAYABgBZAQAA0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eastAsia="宋体" w:cs="Times New Roman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3035300</wp:posOffset>
                </wp:positionH>
                <wp:positionV relativeFrom="paragraph">
                  <wp:posOffset>109220</wp:posOffset>
                </wp:positionV>
                <wp:extent cx="854075" cy="43624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075" cy="436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4（S）（是）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9pt;margin-top:8.6pt;height:34.35pt;width:67.25pt;z-index:251662336;mso-width-relative:page;mso-height-relative:page;" filled="f" stroked="f" coordsize="21600,21600" o:gfxdata="UEsFBgAAAAAAAAAAAAAAAAAAAAAAAFBLAwQKAAAAAACHTuJAAAAAAAAAAAAAAAAABAAAAGRycy9Q&#10;SwMEFAAAAAgAh07iQCia4kDbAAAACQEAAA8AAABkcnMvZG93bnJldi54bWxNj81OwzAQhO9IvIO1&#10;SNyok4i0IY1ToUgVEoJDSy/cNvE2iRqvQ+z+wNNjTuU4mtHMN8XqYgZxosn1lhXEswgEcWN1z62C&#10;3cf6IQPhPLLGwTIp+CYHq/L2psBc2zNv6LT1rQgl7HJU0Hk/5lK6piODbmZH4uDt7WTQBzm1Uk94&#10;DuVmkEkUzaXBnsNChyNVHTWH7dEoeK3W77ipE5P9DNXL2/55/Np9pkrd38XREoSni7+G4Q8/oEMZ&#10;mGp7ZO3EoOBxkYUvPhiLBEQIzOMkBVEryNInkGUh/z8ofwFQSwMEFAAAAAgAh07iQDT/nZUfAgAA&#10;FwQAAA4AAABkcnMvZTJvRG9jLnhtbK1TwY7TMBC9I/EPlu80aTftLlXTVdlVEVLFrlQQZ9ex20i2&#10;x9huk/IB8Ad74sKd7+p3MHbabgWcEBdnPDOZ8XvzZnLbakV2wvkaTEn7vZwSYThUtVmX9OOH+asb&#10;SnxgpmIKjCjpXnh6O335YtLYsRjABlQlHMEixo8bW9JNCHacZZ5vhGa+B1YYDEpwmgW8unVWOdZg&#10;da2yQZ6PsgZcZR1w4T1677sgnab6UgoeHqT0IhBVUnxbSKdL5yqe2XTCxmvH7Kbmx2ewf3iFZrXB&#10;pudS9ywwsnX1H6V0zR14kKHHQWcgZc1FwoBo+vlvaJYbZkXCguR4e6bJ/7+y/P3u0ZG6KmlBiWEa&#10;R3R4+nb4/vPw4yspIj2N9WPMWlrMC+0baHHMJ79HZ0TdSqfjF/EQjCPR+zO5og2Eo/NmWOTXQ0o4&#10;hoqr0aAYxirZ88/W+fBWgCbRKKnD2SVK2W7hQ5d6Som9DMxrpdL8lCFNSUdXwzz9cI5gcWWwR4TQ&#10;PTVaoV21R1wrqPYIy0GnC2/5vMbmC+bDI3MoBESC4g4PeEgF2ASOFiUbcF/+5o/5OB+MUtKgsErq&#10;P2+ZE5SodwYn97pfFFGJ6VIMrwd4cZeR1WXEbPUdoHb7uEaWJzPmB3UypQP9CXdgFrtiiBmOvUsa&#10;TuZd6OSOO8TFbJaSUHuWhYVZWh5Ld3TOtgFknZiONHXcHNlD9aVZHTclyvvynrKe93n6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BYAAABk&#10;cnMvUEsBAhQAFAAAAAgAh07iQCia4kDbAAAACQEAAA8AAAAAAAAAAQAgAAAAOAAAAGRycy9kb3du&#10;cmV2LnhtbFBLAQIUABQAAAAIAIdO4kA0/52VHwIAABcEAAAOAAAAAAAAAAEAIAAAAEABAABkcnMv&#10;ZTJvRG9jLnhtbFBLBQYAAAAABgAGAFkBAADR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eastAsia="宋体" w:cs="Times New Roman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4（S）（是）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2414270</wp:posOffset>
                </wp:positionH>
                <wp:positionV relativeFrom="paragraph">
                  <wp:posOffset>1115695</wp:posOffset>
                </wp:positionV>
                <wp:extent cx="578485" cy="43624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485" cy="436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0.1pt;margin-top:87.85pt;height:34.35pt;width:45.55pt;z-index:251661312;mso-width-relative:page;mso-height-relative:page;" filled="f" stroked="f" coordsize="21600,21600" o:gfxdata="UEsFBgAAAAAAAAAAAAAAAAAAAAAAAFBLAwQKAAAAAACHTuJAAAAAAAAAAAAAAAAABAAAAGRycy9Q&#10;SwMEFAAAAAgAh07iQLdkeiHcAAAACwEAAA8AAABkcnMvZG93bnJldi54bWxNj8tOwzAQRfdI/IM1&#10;SOyonTQlUYhToUgVEoJFSzfsJvE0ifAjxO4Dvh6zguXoHt17plpfjGYnmv3orIRkIYCR7ZwabS9h&#10;/7a5K4D5gFahdpYkfJGHdX19VWGp3Nlu6bQLPYsl1pcoYQhhKjn33UAG/cJNZGN2cLPBEM+552rG&#10;cyw3mqdC3HODo40LA07UDNR97I5GwnOzecVtm5riWzdPL4fH6XP/vpLy9iYRD8ACXcIfDL/6UR3q&#10;6NS6o1WeaQnLQqQRjUG+yoFFIsuTJbBWQpplGfC64v9/qH8AUEsDBBQAAAAIAIdO4kC78+BRHgIA&#10;ABcEAAAOAAAAZHJzL2Uyb0RvYy54bWytU82O0zAQviPxDpbvNP3fUjVdlV0VIVXsSgVxdh27iWR7&#10;jO02KQ8Ab7AnLtx5rj4HY6ftVsAJcXHGM5MZf998M7tttCJ74XwFJqe9TpcSYTgUldnm9OOH5asJ&#10;JT4wUzAFRuT0IDy9nb98MavtVPShBFUIR7CI8dPa5rQMwU6zzPNSaOY7YIXBoASnWcCr22aFYzVW&#10;1yrrd7vjrAZXWAdceI/e+zZI56m+lIKHBym9CETlFN8W0unSuYlnNp+x6dYxW1b89Az2D6/QrDLY&#10;9FLqngVGdq76o5SuuAMPMnQ46AykrLhIGBBNr/sbmnXJrEhYkBxvLzT5/1eWv98/OlIVOR1QYpjG&#10;ER2fvh2//zz++EoGkZ7a+ilmrS3mheYNNDjms9+jM6JupNPxi3gIxpHow4Vc0QTC0Tm6mQwnI0o4&#10;hoaDcX84ilWy55+t8+GtAE2ikVOHs0uUsv3Khzb1nBJ7GVhWSqX5KUPqnI4Ho2764RLB4spgjwih&#10;fWq0QrNpTrg2UBwQloNWF97yZYXNV8yHR+ZQCIgExR0e8JAKsAmcLEpKcF/+5o/5OB+MUlKjsHLq&#10;P++YE5SodwYn97o3HEYlpstwdNPHi7uObK4jZqfvALXbwzWyPJkxP6izKR3oT7gDi9gVQ8xw7J3T&#10;cDbvQit33CEuFouUhNqzLKzM2vJYuqVzsQsgq8R0pKnl5sQeqi/N6rQpUd7X95T1vM/z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BYAAABk&#10;cnMvUEsBAhQAFAAAAAgAh07iQLdkeiHcAAAACwEAAA8AAAAAAAAAAQAgAAAAOAAAAGRycy9kb3du&#10;cmV2LnhtbFBLAQIUABQAAAAIAIdO4kC78+BRHgIAABcEAAAOAAAAAAAAAAEAIAAAAEEBAABkcnMv&#10;ZTJvRG9jLnhtbFBLBQYAAAAABgAGAFkBAADR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eastAsia="宋体" w:cs="Times New Roman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840740</wp:posOffset>
                </wp:positionH>
                <wp:positionV relativeFrom="paragraph">
                  <wp:posOffset>502920</wp:posOffset>
                </wp:positionV>
                <wp:extent cx="578485" cy="43624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485" cy="436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6.2pt;margin-top:39.6pt;height:34.35pt;width:45.55pt;z-index:251660288;mso-width-relative:page;mso-height-relative:page;" filled="f" stroked="f" coordsize="21600,21600" o:gfxdata="UEsFBgAAAAAAAAAAAAAAAAAAAAAAAFBLAwQKAAAAAACHTuJAAAAAAAAAAAAAAAAABAAAAGRycy9Q&#10;SwMEFAAAAAgAh07iQCcNenbbAAAACgEAAA8AAABkcnMvZG93bnJldi54bWxNj8tOwzAQRfdI/IM1&#10;ldhRp25L2xCnQpEqJASLlm7YOfE0iRqPQ+w+4OsZVrC8ukd3zmTrq+vEGYfQetIwGScgkCpvW6o1&#10;7N8390sQIRqypvOEGr4wwDq/vclMav2FtnjexVrwCIXUaGhi7FMpQ9WgM2HseyTuDn5wJnIcamkH&#10;c+Fx10mVJA/SmZb4QmN6LBqsjruT0/BSbN7MtlRu+d0Vz6+Hp/5z/zHX+m40SR5BRLzGPxh+9Vkd&#10;cnYq/YlsEB3nqZoxqmGxUiAYUGo6B1FyM1usQOaZ/P9C/gNQSwMEFAAAAAgAh07iQAyezdkfAgAA&#10;FwQAAA4AAABkcnMvZTJvRG9jLnhtbK1TwY7TMBC9I/EPlu80bbbtlqrpquyqCGnFrlQQZ9exm0i2&#10;x9huk/IB8Ad74sKd7+p3MHbabgWcEBdnPDOZ8XvzZnbTakV2wvkaTEEHvT4lwnAoa7Mp6McPy1cT&#10;SnxgpmQKjCjoXnh6M3/5YtbYqcihAlUKR7CI8dPGFrQKwU6zzPNKaOZ7YIXBoASnWcCr22SlYw1W&#10;1yrL+/1x1oArrQMuvEfvXRek81RfSsHDg5ReBKIKim8L6XTpXMczm8/YdOOYrWp+fAb7h1doVhts&#10;ei51xwIjW1f/UUrX3IEHGXocdAZS1lwkDIhm0P8NzapiViQsSI63Z5r8/yvL3+8eHanLguaUGKZx&#10;RIenb4fvPw8/vpI80tNYP8WslcW80L6BFsd88nt0RtStdDp+EQ/BOBK9P5Mr2kA4OkfXk+FkRAnH&#10;0PBqnA9HsUr2/LN1PrwVoEk0CupwdolStrv3oUs9pcReBpa1Uml+ypCmoOOrUT/9cI5gcWWwR4TQ&#10;PTVaoV23R1xrKPcIy0GnC2/5ssbm98yHR+ZQCIgExR0e8JAKsAkcLUoqcF/+5o/5OB+MUtKgsArq&#10;P2+ZE5SodwYn93owHEYlpstwdJ3jxV1G1pcRs9W3gNod4BpZnsyYH9TJlA70J9yBReyKIWY49i5o&#10;OJm3oZM77hAXi0VKQu1ZFu7NyvJYuqNzsQ0g68R0pKnj5sgeqi/N6rgpUd6X95T1vM/z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BYAAABk&#10;cnMvUEsBAhQAFAAAAAgAh07iQCcNenbbAAAACgEAAA8AAAAAAAAAAQAgAAAAOAAAAGRycy9kb3du&#10;cmV2LnhtbFBLAQIUABQAAAAIAIdO4kAMns3ZHwIAABcEAAAOAAAAAAAAAAEAIAAAAEABAABkcnMv&#10;ZTJvRG9jLnhtbFBLBQYAAAAABgAGAFkBAADR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eastAsia="宋体" w:cs="Times New Roman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350520</wp:posOffset>
                </wp:positionV>
                <wp:extent cx="578485" cy="43624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70735" y="5340985"/>
                          <a:ext cx="578485" cy="436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.85pt;margin-top:27.6pt;height:34.35pt;width:45.55pt;z-index:251659264;mso-width-relative:page;mso-height-relative:page;" filled="f" stroked="f" coordsize="21600,21600" o:gfxdata="UEsFBgAAAAAAAAAAAAAAAAAAAAAAAFBLAwQKAAAAAACHTuJAAAAAAAAAAAAAAAAABAAAAGRycy9Q&#10;SwMEFAAAAAgAh07iQMVDLnzaAAAACQEAAA8AAABkcnMvZG93bnJldi54bWxNj81OwzAQhO9IvIO1&#10;SNyo3aBAE+JUKFKFhODQ0gs3J94mEfE6xO4PPD3bU7ntaEaz3xTLkxvEAafQe9IwnykQSI23PbUa&#10;th+ruwWIEA1ZM3hCDT8YYFleXxUmt/5IazxsYiu4hEJuNHQxjrmUoenQmTDzIxJ7Oz85E1lOrbST&#10;OXK5G2Si1IN0pif+0JkRqw6br83eaXitVu9mXSdu8TtUL2+75/F7+5lqfXszV08gIp7iJQxnfEaH&#10;kplqvycbxKAhyx45qSFNExBnP1M8peYjuc9AloX8v6D8A1BLAwQUAAAACACHTuJAX60HYCoCAAAj&#10;BAAADgAAAGRycy9lMm9Eb2MueG1srVPNjtMwEL4j8Q6W7zRpm7Tdqumq7KoIacWuVBBn17GbSP7D&#10;dpuUB4A34MSFO8/V52DspN0KOCEuznjmy/x883lx20qBDsy6WqsCDwcpRkxRXdZqV+AP79evZhg5&#10;T1RJhFaswEfm8O3y5YtFY+ZspCstSmYRJFFu3pgCV96beZI4WjFJ3EAbpiDItZXEw9XuktKSBrJL&#10;kYzSdJI02pbGasqcA+99F8TLmJ9zRv0j5455JAoMvfl42nhuw5ksF2S+s8RUNe3bIP/QhSS1gqKX&#10;VPfEE7S39R+pZE2tdpr7AdUy0ZzXlMUZYJph+ts0m4oYFmcBcpy50OT+X1r67vBkUV3C7jBSRMKK&#10;Tt++nr7/PP34goaBnsa4OaA2BnC+fa3bAO39Dpxh6pZbGb4wD4L4KJ2m03GO0bHA+ThLb2Z5RzRr&#10;PaIAyKezDHyIAiAbT0ZZjCfPiYx1/g3TEgWjwBb2GOklhwfnoThAz5BQV+l1LUTcpVCoKfBknKfx&#10;h0sE/hAKfgzjdG0Hy7fbtp9lq8sjjGh1pxFn6LqG4g/E+SdiQRQgHxC6f4SDCw1FdG9hVGn7+W/+&#10;gIddQRSjBkRWYPdpTyzDSLxVsMWbYZYFVcZLlk9HcLHXke11RO3lnQYdw6agu2gGvBdnk1stP8J7&#10;WIWqECKKQu0C+7N55zvpw3uibLWKINChIf5BbQwNqTs6V3uveR2ZDjR13PTsgRLjAvpXE6R+fY+o&#10;57e9/A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WAAAAZHJzL1BLAQIUABQAAAAIAIdO4kDFQy582gAAAAkBAAAPAAAAAAAAAAEAIAAAADgA&#10;AABkcnMvZG93bnJldi54bWxQSwECFAAUAAAACACHTuJAX60HYCoCAAAjBAAADgAAAAAAAAABACAA&#10;AAA/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eastAsia="宋体" w:cs="Times New Roman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drawing>
          <wp:inline distT="0" distB="0" distL="114300" distR="114300">
            <wp:extent cx="5309870" cy="2115185"/>
            <wp:effectExtent l="0" t="0" r="5080" b="18415"/>
            <wp:docPr id="81" name="图片 81" descr="特征图谱对照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 descr="特征图谱对照图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09870" cy="211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对照特征图谱</w:t>
      </w:r>
    </w:p>
    <w:p>
      <w:pPr>
        <w:spacing w:line="360" w:lineRule="auto"/>
        <w:ind w:firstLine="210" w:firstLineChars="100"/>
        <w:jc w:val="center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4"/>
          <w:lang w:val="en-US" w:eastAsia="zh-CN"/>
        </w:rPr>
        <w:t>峰4：芦丁；峰5：异槲皮苷；峰6：山柰酚-3-</w:t>
      </w:r>
      <w:r>
        <w:rPr>
          <w:rFonts w:hint="default" w:ascii="Times New Roman" w:hAnsi="Times New Roman" w:eastAsia="宋体" w:cs="Times New Roman"/>
          <w:i/>
          <w:iCs/>
          <w:sz w:val="21"/>
          <w:szCs w:val="24"/>
          <w:lang w:val="en-US" w:eastAsia="zh-CN"/>
        </w:rPr>
        <w:t>O</w:t>
      </w:r>
      <w:r>
        <w:rPr>
          <w:rFonts w:hint="default" w:ascii="Times New Roman" w:hAnsi="Times New Roman" w:eastAsia="宋体" w:cs="Times New Roman"/>
          <w:sz w:val="21"/>
          <w:szCs w:val="24"/>
          <w:lang w:val="en-US" w:eastAsia="zh-CN"/>
        </w:rPr>
        <w:t>-芸香糖苷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黑体" w:cs="Times New Roman"/>
          <w:color w:val="000000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【含量测定】</w:t>
      </w:r>
      <w:r>
        <w:rPr>
          <w:rFonts w:hint="default" w:ascii="Times New Roman" w:hAnsi="Times New Roman" w:eastAsia="宋体" w:cs="Times New Roman"/>
          <w:color w:val="000000"/>
          <w:sz w:val="24"/>
        </w:rPr>
        <w:t>照高效液相色谱法（</w:t>
      </w:r>
      <w:r>
        <w:rPr>
          <w:rFonts w:hint="default" w:ascii="Times New Roman" w:hAnsi="Times New Roman" w:eastAsia="宋体" w:cs="Times New Roman"/>
          <w:color w:val="000000"/>
          <w:sz w:val="24"/>
          <w:lang w:eastAsia="zh-CN"/>
        </w:rPr>
        <w:t>《</w:t>
      </w:r>
      <w:r>
        <w:rPr>
          <w:rFonts w:hint="default" w:ascii="Times New Roman" w:hAnsi="Times New Roman" w:eastAsia="宋体" w:cs="Times New Roman"/>
          <w:color w:val="000000"/>
          <w:sz w:val="24"/>
        </w:rPr>
        <w:t>中国药典</w:t>
      </w:r>
      <w:r>
        <w:rPr>
          <w:rFonts w:hint="default" w:ascii="Times New Roman" w:hAnsi="Times New Roman" w:eastAsia="宋体" w:cs="Times New Roman"/>
          <w:color w:val="000000"/>
          <w:sz w:val="24"/>
          <w:lang w:eastAsia="zh-CN"/>
        </w:rPr>
        <w:t>》</w:t>
      </w:r>
      <w:r>
        <w:rPr>
          <w:rFonts w:hint="default" w:ascii="Times New Roman" w:hAnsi="Times New Roman" w:eastAsia="宋体" w:cs="Times New Roman"/>
          <w:color w:val="000000"/>
          <w:sz w:val="24"/>
        </w:rPr>
        <w:t>202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000000"/>
          <w:sz w:val="24"/>
        </w:rPr>
        <w:t>年版通则0512）测定。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色谱条件与系统适用性试验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 以十八烷基硅烷键合硅胶为填充剂；以乙腈为流动相A，以0.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000000"/>
          <w:sz w:val="24"/>
        </w:rPr>
        <w:t>%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磷酸</w:t>
      </w:r>
      <w:r>
        <w:rPr>
          <w:rFonts w:hint="default" w:ascii="Times New Roman" w:hAnsi="Times New Roman" w:eastAsia="宋体" w:cs="Times New Roman"/>
          <w:color w:val="000000"/>
          <w:sz w:val="24"/>
        </w:rPr>
        <w:t>为流动相B；按下表进行梯度洗脱；检测波长为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350</w:t>
      </w:r>
      <w:r>
        <w:rPr>
          <w:rFonts w:hint="default" w:ascii="Times New Roman" w:hAnsi="Times New Roman" w:eastAsia="宋体" w:cs="Times New Roman"/>
          <w:color w:val="000000"/>
          <w:sz w:val="24"/>
        </w:rPr>
        <w:t>nm。理论板数按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芦丁</w:t>
      </w:r>
      <w:r>
        <w:rPr>
          <w:rFonts w:hint="default" w:ascii="Times New Roman" w:hAnsi="Times New Roman" w:eastAsia="宋体" w:cs="Times New Roman"/>
          <w:color w:val="000000"/>
          <w:sz w:val="24"/>
        </w:rPr>
        <w:t>峰计算应不低于5000。</w:t>
      </w:r>
    </w:p>
    <w:tbl>
      <w:tblPr>
        <w:tblStyle w:val="8"/>
        <w:tblW w:w="4999" w:type="pct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8"/>
        <w:gridCol w:w="2969"/>
        <w:gridCol w:w="2953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tblHeader/>
        </w:trPr>
        <w:tc>
          <w:tcPr>
            <w:tcW w:w="1524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2"/>
              </w:rPr>
              <w:t>时间（min）</w:t>
            </w:r>
          </w:p>
        </w:tc>
        <w:tc>
          <w:tcPr>
            <w:tcW w:w="1742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2"/>
              </w:rPr>
              <w:t>流动相A（%）</w:t>
            </w:r>
          </w:p>
        </w:tc>
        <w:tc>
          <w:tcPr>
            <w:tcW w:w="1732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2"/>
              </w:rPr>
              <w:t>流动相B（%）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4" w:type="pct"/>
            <w:tcBorders>
              <w:top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0～</w:t>
            </w:r>
            <w:r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  <w:t>22</w:t>
            </w:r>
          </w:p>
        </w:tc>
        <w:tc>
          <w:tcPr>
            <w:tcW w:w="1742" w:type="pct"/>
            <w:tcBorders>
              <w:top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→</w:t>
            </w:r>
            <w:r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732" w:type="pct"/>
            <w:tcBorders>
              <w:top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  <w:t>92</w:t>
            </w: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→</w:t>
            </w:r>
            <w:r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  <w:t>85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4" w:type="pct"/>
            <w:shd w:val="clear" w:color="auto" w:fill="auto"/>
            <w:noWrap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～</w:t>
            </w:r>
            <w:r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  <w:t>40</w:t>
            </w:r>
          </w:p>
        </w:tc>
        <w:tc>
          <w:tcPr>
            <w:tcW w:w="1742" w:type="pct"/>
            <w:shd w:val="clear" w:color="auto" w:fill="auto"/>
            <w:noWrap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732" w:type="pct"/>
            <w:shd w:val="clear" w:color="auto" w:fill="auto"/>
            <w:noWrap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  <w:t>85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524" w:type="pct"/>
            <w:tcBorders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0～</w:t>
            </w:r>
            <w:r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  <w:t>60</w:t>
            </w:r>
          </w:p>
        </w:tc>
        <w:tc>
          <w:tcPr>
            <w:tcW w:w="1742" w:type="pct"/>
            <w:tcBorders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→</w:t>
            </w:r>
            <w:r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732" w:type="pct"/>
            <w:tcBorders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  <w:t>85</w:t>
            </w: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→</w:t>
            </w:r>
            <w:r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  <w:t>80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对照品溶液的制备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 取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芦丁</w:t>
      </w:r>
      <w:r>
        <w:rPr>
          <w:rFonts w:hint="default" w:ascii="Times New Roman" w:hAnsi="Times New Roman" w:eastAsia="宋体" w:cs="Times New Roman"/>
          <w:color w:val="000000"/>
          <w:sz w:val="24"/>
        </w:rPr>
        <w:t>对照品适量，精密称定，加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70%</w:t>
      </w:r>
      <w:r>
        <w:rPr>
          <w:rFonts w:hint="default" w:ascii="Times New Roman" w:hAnsi="Times New Roman" w:eastAsia="宋体" w:cs="Times New Roman"/>
          <w:color w:val="000000"/>
          <w:sz w:val="24"/>
        </w:rPr>
        <w:t>甲醇制成每1ml含0.1mg的溶液，即得。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供试品溶液的制备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 取本品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>粉末（过二号筛）</w:t>
      </w:r>
      <w:r>
        <w:rPr>
          <w:rFonts w:hint="default" w:ascii="Times New Roman" w:hAnsi="Times New Roman" w:eastAsia="宋体" w:cs="Times New Roman"/>
          <w:color w:val="000000"/>
          <w:sz w:val="24"/>
        </w:rPr>
        <w:t>约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0.5</w:t>
      </w:r>
      <w:r>
        <w:rPr>
          <w:rFonts w:hint="default" w:ascii="Times New Roman" w:hAnsi="Times New Roman" w:eastAsia="宋体" w:cs="Times New Roman"/>
          <w:color w:val="000000"/>
          <w:sz w:val="24"/>
        </w:rPr>
        <w:t>g，精密称定，置具塞锥形瓶中，精密加入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70%</w:t>
      </w:r>
      <w:r>
        <w:rPr>
          <w:rFonts w:hint="default" w:ascii="Times New Roman" w:hAnsi="Times New Roman" w:eastAsia="宋体" w:cs="Times New Roman"/>
          <w:color w:val="000000"/>
          <w:sz w:val="24"/>
        </w:rPr>
        <w:t>甲醇2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ml，密塞，称定重量，超声处理（功率360W，频率4</w:t>
      </w:r>
      <w:r>
        <w:rPr>
          <w:rFonts w:hint="default" w:ascii="Times New Roman" w:hAnsi="Times New Roman" w:cs="Times New Roman"/>
          <w:color w:val="000000"/>
          <w:sz w:val="24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000000"/>
          <w:sz w:val="24"/>
        </w:rPr>
        <w:t>kHz）30分钟，放冷，再称定重量，用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70%</w:t>
      </w:r>
      <w:r>
        <w:rPr>
          <w:rFonts w:hint="default" w:ascii="Times New Roman" w:hAnsi="Times New Roman" w:eastAsia="宋体" w:cs="Times New Roman"/>
          <w:color w:val="000000"/>
          <w:sz w:val="24"/>
        </w:rPr>
        <w:t>甲醇补足减失的重量，摇匀，滤过，取续滤液，即得。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测定法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 分别精密吸取对照品溶液10µ1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与</w:t>
      </w:r>
      <w:r>
        <w:rPr>
          <w:rFonts w:hint="default" w:ascii="Times New Roman" w:hAnsi="Times New Roman" w:eastAsia="宋体" w:cs="Times New Roman"/>
          <w:color w:val="000000"/>
          <w:sz w:val="24"/>
        </w:rPr>
        <w:t>供试品溶液10～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color w:val="000000"/>
          <w:sz w:val="24"/>
        </w:rPr>
        <w:t>µ1，注入液相色谱仪，测定，即得。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>本品按干燥品计算，含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芦丁</w:t>
      </w:r>
      <w:r>
        <w:rPr>
          <w:rFonts w:hint="default" w:ascii="Times New Roman" w:hAnsi="Times New Roman" w:eastAsia="宋体" w:cs="Times New Roman"/>
          <w:color w:val="000000"/>
          <w:sz w:val="24"/>
        </w:rPr>
        <w:t>（C</w:t>
      </w:r>
      <w:r>
        <w:rPr>
          <w:rFonts w:hint="default" w:ascii="Times New Roman" w:hAnsi="Times New Roman" w:eastAsia="宋体" w:cs="Times New Roman"/>
          <w:color w:val="000000"/>
          <w:sz w:val="13"/>
          <w:szCs w:val="13"/>
        </w:rPr>
        <w:t>2</w:t>
      </w:r>
      <w:r>
        <w:rPr>
          <w:rFonts w:hint="default" w:ascii="Times New Roman" w:hAnsi="Times New Roman" w:eastAsia="宋体" w:cs="Times New Roman"/>
          <w:color w:val="000000"/>
          <w:sz w:val="13"/>
          <w:szCs w:val="13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color w:val="000000"/>
          <w:sz w:val="24"/>
        </w:rPr>
        <w:t>H</w:t>
      </w:r>
      <w:r>
        <w:rPr>
          <w:rFonts w:hint="default" w:ascii="Times New Roman" w:hAnsi="Times New Roman" w:eastAsia="宋体" w:cs="Times New Roman"/>
          <w:color w:val="000000"/>
          <w:sz w:val="24"/>
          <w:vertAlign w:val="subscript"/>
          <w:lang w:val="en-US" w:eastAsia="zh-CN"/>
        </w:rPr>
        <w:t>30</w:t>
      </w:r>
      <w:r>
        <w:rPr>
          <w:rFonts w:hint="default" w:ascii="Times New Roman" w:hAnsi="Times New Roman" w:eastAsia="宋体" w:cs="Times New Roman"/>
          <w:color w:val="000000"/>
          <w:sz w:val="24"/>
        </w:rPr>
        <w:t>O</w:t>
      </w:r>
      <w:r>
        <w:rPr>
          <w:rFonts w:hint="default" w:ascii="Times New Roman" w:hAnsi="Times New Roman" w:eastAsia="宋体" w:cs="Times New Roman"/>
          <w:color w:val="000000"/>
          <w:sz w:val="24"/>
          <w:vertAlign w:val="subscript"/>
          <w:lang w:val="en-US" w:eastAsia="zh-CN"/>
        </w:rPr>
        <w:t>16</w:t>
      </w:r>
      <w:r>
        <w:rPr>
          <w:rFonts w:hint="default" w:ascii="Times New Roman" w:hAnsi="Times New Roman" w:eastAsia="宋体" w:cs="Times New Roman"/>
          <w:color w:val="000000"/>
          <w:sz w:val="24"/>
        </w:rPr>
        <w:t>）不得少于</w:t>
      </w:r>
      <w:r>
        <w:rPr>
          <w:rFonts w:hint="default" w:ascii="Times New Roman" w:hAnsi="Times New Roman" w:eastAsia="宋体" w:cs="Times New Roman"/>
          <w:sz w:val="24"/>
        </w:rPr>
        <w:t>0.</w:t>
      </w:r>
      <w:r>
        <w:rPr>
          <w:rFonts w:hint="default" w:ascii="Times New Roman" w:hAnsi="Times New Roman" w:cs="Times New Roman"/>
          <w:sz w:val="24"/>
          <w:lang w:val="en-US" w:eastAsia="zh-CN"/>
        </w:rPr>
        <w:t>16</w:t>
      </w:r>
      <w:r>
        <w:rPr>
          <w:rFonts w:hint="default" w:ascii="Times New Roman" w:hAnsi="Times New Roman" w:eastAsia="宋体" w:cs="Times New Roman"/>
          <w:sz w:val="24"/>
        </w:rPr>
        <w:t>%</w:t>
      </w:r>
      <w:r>
        <w:rPr>
          <w:rFonts w:hint="default" w:ascii="Times New Roman" w:hAnsi="Times New Roman" w:eastAsia="宋体" w:cs="Times New Roman"/>
          <w:color w:val="000000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default" w:ascii="Times New Roman" w:hAnsi="Times New Roman" w:eastAsia="黑体" w:cs="Times New Roman"/>
          <w:color w:val="000000"/>
          <w:sz w:val="24"/>
          <w:lang w:eastAsia="zh-CN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【</w:t>
      </w: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炮制</w:t>
      </w: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】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除去杂质，切段，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干燥。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【性味与归经】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辛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苦，寒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归肺、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>心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【功能与主治】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清热止咳，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解毒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消肿。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用于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风热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感冒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咽喉肿痛，肺热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咳嗽，疮痈肿痛。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【用法与用量】</w:t>
      </w:r>
      <w:r>
        <w:rPr>
          <w:rFonts w:hint="eastAsia" w:ascii="Times New Roman" w:hAnsi="Times New Roman" w:eastAsia="黑体" w:cs="Times New Roman"/>
          <w:color w:val="000000"/>
          <w:sz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color w:val="000000"/>
          <w:sz w:val="24"/>
        </w:rPr>
        <w:t>～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color w:val="000000"/>
          <w:sz w:val="24"/>
        </w:rPr>
        <w:t>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【贮藏】</w:t>
      </w:r>
      <w:r>
        <w:rPr>
          <w:rFonts w:hint="default" w:ascii="Times New Roman" w:hAnsi="Times New Roman" w:eastAsia="宋体" w:cs="Times New Roman"/>
          <w:color w:val="000000"/>
          <w:sz w:val="24"/>
        </w:rPr>
        <w:t>置干燥处。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6C2E09"/>
    <w:rsid w:val="06BC536A"/>
    <w:rsid w:val="06C947A0"/>
    <w:rsid w:val="0DC163B7"/>
    <w:rsid w:val="0E7DC70D"/>
    <w:rsid w:val="0F93235F"/>
    <w:rsid w:val="0FD60138"/>
    <w:rsid w:val="10B1603A"/>
    <w:rsid w:val="1278336A"/>
    <w:rsid w:val="12CE4E68"/>
    <w:rsid w:val="151E46C2"/>
    <w:rsid w:val="19303370"/>
    <w:rsid w:val="20D75230"/>
    <w:rsid w:val="217B1617"/>
    <w:rsid w:val="239448A4"/>
    <w:rsid w:val="250F789B"/>
    <w:rsid w:val="25EA5BEB"/>
    <w:rsid w:val="27825800"/>
    <w:rsid w:val="298470CF"/>
    <w:rsid w:val="2B6C2E09"/>
    <w:rsid w:val="31BB18D3"/>
    <w:rsid w:val="32EB3E7E"/>
    <w:rsid w:val="35B569D4"/>
    <w:rsid w:val="385E74CA"/>
    <w:rsid w:val="3A3145F6"/>
    <w:rsid w:val="3ABE0995"/>
    <w:rsid w:val="3B3D5E14"/>
    <w:rsid w:val="3B7B2D17"/>
    <w:rsid w:val="3C5C1637"/>
    <w:rsid w:val="3DB11EF4"/>
    <w:rsid w:val="3F6F2137"/>
    <w:rsid w:val="42C615B8"/>
    <w:rsid w:val="433462E7"/>
    <w:rsid w:val="445A3EA3"/>
    <w:rsid w:val="45223343"/>
    <w:rsid w:val="48256D81"/>
    <w:rsid w:val="48EB4B98"/>
    <w:rsid w:val="4CC40B09"/>
    <w:rsid w:val="50653CC8"/>
    <w:rsid w:val="52A62A1F"/>
    <w:rsid w:val="5613192D"/>
    <w:rsid w:val="56D836B5"/>
    <w:rsid w:val="57FB7AFE"/>
    <w:rsid w:val="58BA6694"/>
    <w:rsid w:val="590F1D89"/>
    <w:rsid w:val="5EA41270"/>
    <w:rsid w:val="5FFB8287"/>
    <w:rsid w:val="60673F83"/>
    <w:rsid w:val="61EB5793"/>
    <w:rsid w:val="6AD14D4C"/>
    <w:rsid w:val="6BFB7C75"/>
    <w:rsid w:val="6C8127EF"/>
    <w:rsid w:val="6D8B3775"/>
    <w:rsid w:val="6E3B6506"/>
    <w:rsid w:val="6F6F3D88"/>
    <w:rsid w:val="6FBEFF90"/>
    <w:rsid w:val="704D7BA9"/>
    <w:rsid w:val="76B75E81"/>
    <w:rsid w:val="79512FAB"/>
    <w:rsid w:val="79AC72A6"/>
    <w:rsid w:val="7E1F8365"/>
    <w:rsid w:val="7E496D13"/>
    <w:rsid w:val="7E970E40"/>
    <w:rsid w:val="7FF7FB92"/>
    <w:rsid w:val="7FFD2531"/>
    <w:rsid w:val="93FFE5AB"/>
    <w:rsid w:val="AC7BF341"/>
    <w:rsid w:val="B83FBB75"/>
    <w:rsid w:val="DF4FC7AB"/>
    <w:rsid w:val="F7FFE46F"/>
    <w:rsid w:val="FB9C20F7"/>
    <w:rsid w:val="FF2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80" w:firstLineChars="200"/>
      <w:jc w:val="both"/>
    </w:pPr>
    <w:rPr>
      <w:rFonts w:eastAsia="宋体" w:asciiTheme="minorAscii" w:hAnsiTheme="minorAscii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outlineLvl w:val="0"/>
    </w:pPr>
    <w:rPr>
      <w:rFonts w:ascii="Times New Roman" w:hAnsi="Times New Roman" w:eastAsiaTheme="minorEastAsia"/>
      <w:b/>
      <w:kern w:val="44"/>
      <w:sz w:val="28"/>
      <w:szCs w:val="22"/>
    </w:rPr>
  </w:style>
  <w:style w:type="paragraph" w:styleId="3">
    <w:name w:val="heading 2"/>
    <w:basedOn w:val="2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eastAsia="宋体"/>
      <w:sz w:val="24"/>
    </w:rPr>
  </w:style>
  <w:style w:type="paragraph" w:styleId="4">
    <w:name w:val="heading 3"/>
    <w:basedOn w:val="3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2"/>
    </w:pPr>
    <w:rPr>
      <w:rFonts w:ascii="Times New Roman" w:hAnsi="Times New Roman" w:eastAsiaTheme="majorEastAsia"/>
    </w:rPr>
  </w:style>
  <w:style w:type="paragraph" w:styleId="5">
    <w:name w:val="heading 4"/>
    <w:basedOn w:val="4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3"/>
    </w:pPr>
    <w:rPr>
      <w:rFonts w:ascii="Times New Roman" w:hAnsi="Times New Roman" w:eastAsia="宋体"/>
    </w:rPr>
  </w:style>
  <w:style w:type="paragraph" w:styleId="6">
    <w:name w:val="heading 5"/>
    <w:basedOn w:val="5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annotation text"/>
    <w:basedOn w:val="1"/>
    <w:qFormat/>
    <w:uiPriority w:val="0"/>
    <w:pPr>
      <w:jc w:val="left"/>
    </w:pPr>
  </w:style>
  <w:style w:type="paragraph" w:customStyle="1" w:styleId="10">
    <w:name w:val="一级标题"/>
    <w:qFormat/>
    <w:uiPriority w:val="0"/>
    <w:pPr>
      <w:keepNext/>
      <w:keepLines/>
      <w:widowControl w:val="0"/>
      <w:spacing w:before="0" w:after="0" w:line="360" w:lineRule="auto"/>
      <w:jc w:val="both"/>
      <w:outlineLvl w:val="0"/>
    </w:pPr>
    <w:rPr>
      <w:rFonts w:ascii="Times New Roman" w:hAnsi="Times New Roman" w:eastAsia="宋体" w:cs="Times New Roman"/>
      <w:b/>
      <w:bCs/>
      <w:kern w:val="2"/>
      <w:sz w:val="28"/>
      <w:szCs w:val="28"/>
      <w:lang w:val="en-US" w:eastAsia="zh-CN" w:bidi="ar-SA"/>
    </w:rPr>
  </w:style>
  <w:style w:type="paragraph" w:customStyle="1" w:styleId="11">
    <w:name w:val="二级标题"/>
    <w:qFormat/>
    <w:uiPriority w:val="0"/>
    <w:pPr>
      <w:keepNext/>
      <w:keepLines/>
      <w:widowControl w:val="0"/>
      <w:spacing w:before="0" w:after="0" w:line="360" w:lineRule="auto"/>
      <w:jc w:val="both"/>
      <w:outlineLvl w:val="1"/>
    </w:pPr>
    <w:rPr>
      <w:rFonts w:ascii="Times New Roman" w:hAnsi="Times New Roman" w:eastAsia="宋体" w:cs="Times New Roman"/>
      <w:b/>
      <w:bCs/>
      <w:kern w:val="2"/>
      <w:sz w:val="24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1548</Words>
  <Characters>1824</Characters>
  <Lines>0</Lines>
  <Paragraphs>0</Paragraphs>
  <TotalTime>0</TotalTime>
  <ScaleCrop>false</ScaleCrop>
  <LinksUpToDate>false</LinksUpToDate>
  <CharactersWithSpaces>1853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2025-06-29T19:20:00Z</dcterms:created>
  <dc:creator>凌婕</dc:creator>
  <cp:lastModifiedBy>gxxc</cp:lastModifiedBy>
  <dcterms:modified xsi:type="dcterms:W3CDTF">2025-12-25T10:42:40Z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50959F3602DC414FA522C2B7E2B878B0_13</vt:lpwstr>
  </property>
  <property fmtid="{D5CDD505-2E9C-101B-9397-08002B2CF9AE}" pid="4" name="KSOTemplateDocerSaveRecord">
    <vt:lpwstr>eyJoZGlkIjoiNTNhMjNhZmQxNjMyNjA2NzE5YjhmNDc2OTgzZGI1NWYiLCJ1c2VySWQiOiIxMDg4MzMyMTgxIn0=</vt:lpwstr>
  </property>
</Properties>
</file>